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A61AA">
        <w:rPr>
          <w:rFonts w:ascii="Times New Roman" w:hAnsi="Times New Roman"/>
          <w:b/>
          <w:sz w:val="28"/>
          <w:szCs w:val="28"/>
        </w:rPr>
        <w:t xml:space="preserve">     </w:t>
      </w:r>
      <w:r w:rsidR="000C2558">
        <w:rPr>
          <w:rFonts w:ascii="Times New Roman" w:hAnsi="Times New Roman"/>
          <w:b/>
          <w:sz w:val="28"/>
          <w:szCs w:val="28"/>
        </w:rPr>
        <w:t>Краснояриха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563097" w:rsidRDefault="000D03EA" w:rsidP="00ED349F">
      <w:pPr>
        <w:pStyle w:val="a4"/>
        <w:tabs>
          <w:tab w:val="left" w:pos="59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349F">
        <w:rPr>
          <w:rFonts w:ascii="Times New Roman" w:hAnsi="Times New Roman"/>
          <w:sz w:val="28"/>
          <w:szCs w:val="28"/>
        </w:rPr>
        <w:t>о</w:t>
      </w:r>
      <w:r w:rsidR="00CB5004" w:rsidRPr="000D465B">
        <w:rPr>
          <w:rFonts w:ascii="Times New Roman" w:hAnsi="Times New Roman"/>
          <w:sz w:val="28"/>
          <w:szCs w:val="28"/>
        </w:rPr>
        <w:t>т</w:t>
      </w:r>
      <w:r w:rsidR="00ED349F">
        <w:rPr>
          <w:rFonts w:ascii="Times New Roman" w:hAnsi="Times New Roman"/>
          <w:sz w:val="28"/>
          <w:szCs w:val="28"/>
        </w:rPr>
        <w:t xml:space="preserve"> </w:t>
      </w:r>
      <w:r w:rsidR="009D24FF">
        <w:rPr>
          <w:rFonts w:ascii="Times New Roman" w:hAnsi="Times New Roman"/>
          <w:sz w:val="28"/>
          <w:szCs w:val="28"/>
        </w:rPr>
        <w:t>25</w:t>
      </w:r>
      <w:r w:rsidR="00ED349F">
        <w:rPr>
          <w:rFonts w:ascii="Times New Roman" w:hAnsi="Times New Roman"/>
          <w:sz w:val="28"/>
          <w:szCs w:val="28"/>
        </w:rPr>
        <w:t xml:space="preserve"> ноября 2021 г.</w:t>
      </w:r>
      <w:r w:rsidR="00CB5004" w:rsidRPr="000D465B">
        <w:rPr>
          <w:rFonts w:ascii="Times New Roman" w:hAnsi="Times New Roman"/>
          <w:sz w:val="28"/>
          <w:szCs w:val="28"/>
        </w:rPr>
        <w:t xml:space="preserve"> №</w:t>
      </w:r>
      <w:r w:rsidR="00ED349F">
        <w:rPr>
          <w:rFonts w:ascii="Times New Roman" w:hAnsi="Times New Roman"/>
          <w:sz w:val="28"/>
          <w:szCs w:val="28"/>
        </w:rPr>
        <w:t xml:space="preserve"> </w:t>
      </w:r>
      <w:r w:rsidR="009D24FF">
        <w:rPr>
          <w:rFonts w:ascii="Times New Roman" w:hAnsi="Times New Roman"/>
          <w:sz w:val="28"/>
          <w:szCs w:val="28"/>
        </w:rPr>
        <w:t>106</w:t>
      </w:r>
      <w:r w:rsidR="00094632" w:rsidRPr="000D465B">
        <w:rPr>
          <w:rFonts w:ascii="Times New Roman" w:hAnsi="Times New Roman"/>
          <w:sz w:val="28"/>
          <w:szCs w:val="28"/>
        </w:rPr>
        <w:t xml:space="preserve"> </w:t>
      </w:r>
      <w:r w:rsidR="00563097">
        <w:rPr>
          <w:rFonts w:ascii="Times New Roman" w:hAnsi="Times New Roman"/>
          <w:sz w:val="28"/>
          <w:szCs w:val="28"/>
        </w:rPr>
        <w:tab/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 w:rsidRPr="00AE147B">
        <w:rPr>
          <w:rFonts w:ascii="Times New Roman" w:hAnsi="Times New Roman"/>
          <w:sz w:val="28"/>
          <w:szCs w:val="28"/>
        </w:rPr>
        <w:t>комплексного</w:t>
      </w:r>
      <w:proofErr w:type="gramEnd"/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D24FF">
        <w:rPr>
          <w:rFonts w:ascii="Times New Roman" w:hAnsi="Times New Roman"/>
          <w:sz w:val="28"/>
          <w:szCs w:val="28"/>
        </w:rPr>
        <w:t>Краснояриха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CB5004" w:rsidRPr="00AE147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Самарской </w:t>
      </w:r>
      <w:r w:rsidR="00161315" w:rsidRPr="00AE147B">
        <w:rPr>
          <w:rFonts w:ascii="Times New Roman" w:hAnsi="Times New Roman"/>
          <w:sz w:val="28"/>
          <w:szCs w:val="28"/>
        </w:rPr>
        <w:t>области на</w:t>
      </w:r>
      <w:r w:rsidRPr="00AE147B">
        <w:rPr>
          <w:rFonts w:ascii="Times New Roman" w:hAnsi="Times New Roman"/>
          <w:sz w:val="28"/>
          <w:szCs w:val="28"/>
        </w:rPr>
        <w:t xml:space="preserve"> </w:t>
      </w:r>
      <w:r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r w:rsidR="009D24FF">
        <w:rPr>
          <w:rFonts w:ascii="Times New Roman" w:hAnsi="Times New Roman"/>
          <w:sz w:val="28"/>
          <w:szCs w:val="28"/>
        </w:rPr>
        <w:t>Краснояриха</w:t>
      </w:r>
      <w:r w:rsidR="000C2558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9D24FF">
        <w:rPr>
          <w:rFonts w:ascii="Times New Roman" w:hAnsi="Times New Roman"/>
          <w:sz w:val="28"/>
          <w:szCs w:val="28"/>
        </w:rPr>
        <w:t>Краснояриха</w:t>
      </w:r>
      <w:r w:rsidR="000C2558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1731E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r w:rsidR="009D24FF">
        <w:rPr>
          <w:rFonts w:ascii="Times New Roman" w:hAnsi="Times New Roman"/>
          <w:sz w:val="28"/>
          <w:szCs w:val="28"/>
        </w:rPr>
        <w:t xml:space="preserve">Краснояриха </w:t>
      </w:r>
      <w:r w:rsidRPr="001731EB">
        <w:rPr>
          <w:rFonts w:ascii="Times New Roman" w:hAnsi="Times New Roman"/>
          <w:sz w:val="28"/>
          <w:szCs w:val="28"/>
        </w:rPr>
        <w:t xml:space="preserve">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FC6C36" w:rsidRPr="000D03EA">
        <w:rPr>
          <w:rFonts w:ascii="Times New Roman" w:hAnsi="Times New Roman"/>
          <w:sz w:val="28"/>
          <w:szCs w:val="28"/>
        </w:rPr>
        <w:t>21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1731E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9D24FF">
        <w:rPr>
          <w:rFonts w:ascii="Times New Roman" w:hAnsi="Times New Roman"/>
          <w:sz w:val="28"/>
          <w:szCs w:val="28"/>
        </w:rPr>
        <w:t xml:space="preserve">Краснояриха </w:t>
      </w:r>
      <w:r w:rsidR="00161315" w:rsidRPr="003F39A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731E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731E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9D24FF">
        <w:rPr>
          <w:rFonts w:ascii="Times New Roman" w:hAnsi="Times New Roman"/>
          <w:sz w:val="28"/>
          <w:szCs w:val="28"/>
        </w:rPr>
        <w:t xml:space="preserve">110 </w:t>
      </w:r>
      <w:r w:rsidRPr="000D465B">
        <w:rPr>
          <w:rFonts w:ascii="Times New Roman" w:hAnsi="Times New Roman"/>
          <w:sz w:val="28"/>
          <w:szCs w:val="28"/>
        </w:rPr>
        <w:t xml:space="preserve">от </w:t>
      </w:r>
      <w:r w:rsidR="009D24FF">
        <w:rPr>
          <w:rFonts w:ascii="Times New Roman" w:hAnsi="Times New Roman"/>
          <w:sz w:val="28"/>
          <w:szCs w:val="28"/>
        </w:rPr>
        <w:t>30.12</w:t>
      </w:r>
      <w:r w:rsidRPr="000D465B">
        <w:rPr>
          <w:rFonts w:ascii="Times New Roman" w:hAnsi="Times New Roman"/>
          <w:sz w:val="28"/>
          <w:szCs w:val="28"/>
        </w:rPr>
        <w:t>.20</w:t>
      </w:r>
      <w:r w:rsidR="009D24FF">
        <w:rPr>
          <w:rFonts w:ascii="Times New Roman" w:hAnsi="Times New Roman"/>
          <w:sz w:val="28"/>
          <w:szCs w:val="28"/>
        </w:rPr>
        <w:t>19</w:t>
      </w:r>
      <w:r w:rsidRPr="001731EB">
        <w:rPr>
          <w:rFonts w:ascii="Times New Roman" w:hAnsi="Times New Roman"/>
          <w:sz w:val="28"/>
          <w:szCs w:val="28"/>
        </w:rPr>
        <w:t xml:space="preserve"> г. «Об утверждении Программы комплексного </w:t>
      </w:r>
      <w:r w:rsidR="00161315" w:rsidRPr="001731EB">
        <w:rPr>
          <w:rFonts w:ascii="Times New Roman" w:hAnsi="Times New Roman"/>
          <w:sz w:val="28"/>
          <w:szCs w:val="28"/>
        </w:rPr>
        <w:t>развития социальной</w:t>
      </w:r>
      <w:r w:rsidRPr="001731EB">
        <w:rPr>
          <w:rFonts w:ascii="Times New Roman" w:hAnsi="Times New Roman"/>
          <w:sz w:val="28"/>
          <w:szCs w:val="28"/>
        </w:rPr>
        <w:t xml:space="preserve"> инфраструктуры сельского </w:t>
      </w:r>
      <w:r w:rsidR="00161315" w:rsidRPr="001731EB">
        <w:rPr>
          <w:rFonts w:ascii="Times New Roman" w:hAnsi="Times New Roman"/>
          <w:sz w:val="28"/>
          <w:szCs w:val="28"/>
        </w:rPr>
        <w:t xml:space="preserve">поселения </w:t>
      </w:r>
      <w:r w:rsidR="009D24FF">
        <w:rPr>
          <w:rFonts w:ascii="Times New Roman" w:hAnsi="Times New Roman"/>
          <w:sz w:val="28"/>
          <w:szCs w:val="28"/>
        </w:rPr>
        <w:t xml:space="preserve">Краснояриха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D24FF">
        <w:rPr>
          <w:rFonts w:ascii="Times New Roman" w:hAnsi="Times New Roman"/>
          <w:sz w:val="28"/>
          <w:szCs w:val="28"/>
        </w:rPr>
        <w:t xml:space="preserve">Краснояриха </w:t>
      </w:r>
      <w:r w:rsidRPr="001731EB">
        <w:rPr>
          <w:rFonts w:ascii="Times New Roman" w:hAnsi="Times New Roman"/>
          <w:sz w:val="28"/>
          <w:szCs w:val="28"/>
        </w:rPr>
        <w:t xml:space="preserve">Самарской области на </w:t>
      </w:r>
      <w:r w:rsidR="009D24FF">
        <w:rPr>
          <w:rFonts w:ascii="Times New Roman" w:hAnsi="Times New Roman"/>
          <w:sz w:val="28"/>
          <w:szCs w:val="28"/>
        </w:rPr>
        <w:t>2019-2033</w:t>
      </w:r>
      <w:r w:rsidRPr="000D03EA">
        <w:rPr>
          <w:rFonts w:ascii="Times New Roman" w:hAnsi="Times New Roman"/>
          <w:sz w:val="28"/>
          <w:szCs w:val="28"/>
        </w:rPr>
        <w:t xml:space="preserve"> годы»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9D24FF">
        <w:rPr>
          <w:rFonts w:ascii="Times New Roman" w:hAnsi="Times New Roman"/>
          <w:sz w:val="28"/>
          <w:szCs w:val="28"/>
        </w:rPr>
        <w:t xml:space="preserve">Краснояриха </w:t>
      </w:r>
      <w:r w:rsidRPr="001731EB">
        <w:rPr>
          <w:rFonts w:ascii="Times New Roman" w:hAnsi="Times New Roman"/>
          <w:sz w:val="28"/>
          <w:szCs w:val="28"/>
        </w:rPr>
        <w:t>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9D24FF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Краснояриха</w:t>
      </w:r>
      <w:r w:rsidR="000D465B" w:rsidRPr="000D46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Ф.А. Усманов</w:t>
      </w: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0D465B" w:rsidRDefault="000D465B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0D465B" w:rsidRDefault="000D465B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0D465B" w:rsidRDefault="000D465B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9D24FF">
        <w:rPr>
          <w:rFonts w:ascii="Times New Roman" w:hAnsi="Times New Roman"/>
          <w:sz w:val="24"/>
          <w:szCs w:val="24"/>
        </w:rPr>
        <w:t xml:space="preserve">Краснояриха </w:t>
      </w:r>
    </w:p>
    <w:p w:rsidR="006B5879" w:rsidRPr="001B61E9" w:rsidRDefault="0067533E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5879" w:rsidRPr="000D465B">
        <w:rPr>
          <w:rFonts w:ascii="Times New Roman" w:hAnsi="Times New Roman"/>
          <w:sz w:val="24"/>
          <w:szCs w:val="24"/>
        </w:rPr>
        <w:t>т</w:t>
      </w:r>
      <w:r w:rsidR="00F226E0">
        <w:rPr>
          <w:rFonts w:ascii="Times New Roman" w:hAnsi="Times New Roman"/>
          <w:sz w:val="24"/>
          <w:szCs w:val="24"/>
        </w:rPr>
        <w:t xml:space="preserve"> </w:t>
      </w:r>
      <w:r w:rsidR="009D24FF">
        <w:rPr>
          <w:rFonts w:ascii="Times New Roman" w:hAnsi="Times New Roman"/>
          <w:sz w:val="24"/>
          <w:szCs w:val="24"/>
        </w:rPr>
        <w:t>25</w:t>
      </w:r>
      <w:r w:rsidR="00ED349F">
        <w:rPr>
          <w:rFonts w:ascii="Times New Roman" w:hAnsi="Times New Roman"/>
          <w:sz w:val="24"/>
          <w:szCs w:val="24"/>
        </w:rPr>
        <w:t>.11.2021</w:t>
      </w:r>
      <w:r w:rsidR="00DA1FF1" w:rsidRPr="000D465B">
        <w:rPr>
          <w:rFonts w:ascii="Times New Roman" w:hAnsi="Times New Roman"/>
          <w:sz w:val="24"/>
          <w:szCs w:val="24"/>
        </w:rPr>
        <w:t xml:space="preserve">г. </w:t>
      </w:r>
      <w:r w:rsidR="006B5879" w:rsidRPr="000D465B">
        <w:rPr>
          <w:rFonts w:ascii="Times New Roman" w:hAnsi="Times New Roman"/>
          <w:sz w:val="24"/>
          <w:szCs w:val="24"/>
        </w:rPr>
        <w:t xml:space="preserve"> №</w:t>
      </w:r>
      <w:r w:rsidR="00094632" w:rsidRPr="000D465B">
        <w:rPr>
          <w:rFonts w:ascii="Times New Roman" w:hAnsi="Times New Roman"/>
          <w:sz w:val="24"/>
          <w:szCs w:val="24"/>
        </w:rPr>
        <w:t xml:space="preserve"> </w:t>
      </w:r>
      <w:r w:rsidR="009D24FF">
        <w:rPr>
          <w:rFonts w:ascii="Times New Roman" w:hAnsi="Times New Roman"/>
          <w:sz w:val="24"/>
          <w:szCs w:val="24"/>
        </w:rPr>
        <w:t>106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9D24FF">
        <w:rPr>
          <w:rFonts w:ascii="Times New Roman" w:hAnsi="Times New Roman" w:cs="Times New Roman"/>
          <w:b/>
          <w:bCs/>
          <w:sz w:val="28"/>
          <w:szCs w:val="28"/>
        </w:rPr>
        <w:t>КРАСНОЯРИХА</w:t>
      </w:r>
      <w:r w:rsidR="000C2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161315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0D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0D465B">
              <w:rPr>
                <w:rFonts w:ascii="Times New Roman" w:hAnsi="Times New Roman" w:cs="Times New Roman"/>
                <w:sz w:val="28"/>
                <w:szCs w:val="28"/>
              </w:rPr>
              <w:t>Токмакла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0D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0D465B">
              <w:rPr>
                <w:rFonts w:ascii="Times New Roman" w:hAnsi="Times New Roman" w:cs="Times New Roman"/>
                <w:sz w:val="28"/>
                <w:szCs w:val="28"/>
              </w:rPr>
              <w:t>Токмакла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поселения </w:t>
      </w:r>
      <w:r w:rsidR="009D24FF">
        <w:rPr>
          <w:rFonts w:ascii="Times New Roman" w:hAnsi="Times New Roman"/>
          <w:b/>
          <w:sz w:val="28"/>
          <w:szCs w:val="28"/>
        </w:rPr>
        <w:t xml:space="preserve">Краснояриха </w:t>
      </w:r>
      <w:r w:rsidRPr="00FC6C3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C6C3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B3793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C6C36">
        <w:rPr>
          <w:rFonts w:ascii="Times New Roman" w:hAnsi="Times New Roman"/>
          <w:b/>
          <w:sz w:val="28"/>
          <w:szCs w:val="28"/>
        </w:rPr>
        <w:t xml:space="preserve"> 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0D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9D24F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Краснояриха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161315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Администрация сельского</w:t>
            </w:r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D24F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Краснояриха </w:t>
            </w:r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161315" w:rsidP="000D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Администрация сельского</w:t>
            </w:r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9D24F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Краснояриха </w:t>
            </w:r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CB5004"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0D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9D2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Краснояриха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объектов, находящихся в удовлетворительном </w:t>
            </w: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D349F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 в 2021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ED3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574A3C">
              <w:rPr>
                <w:rFonts w:ascii="Times New Roman" w:hAnsi="Times New Roman" w:cs="Times New Roman"/>
                <w:sz w:val="28"/>
                <w:szCs w:val="28"/>
              </w:rPr>
              <w:t>2909,4</w:t>
            </w:r>
            <w:r w:rsidR="00161315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D24FF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2021 – 888,4 тыс. руб.; </w:t>
            </w:r>
          </w:p>
          <w:p w:rsidR="009D24FF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2022 – 900,3 тыс. руб.; </w:t>
            </w:r>
          </w:p>
          <w:p w:rsidR="009D24FF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2023 - 482,9 тыс. руб.; </w:t>
            </w:r>
          </w:p>
          <w:p w:rsidR="009D24FF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2024 - 482,9 </w:t>
            </w:r>
            <w:proofErr w:type="spellStart"/>
            <w:r w:rsidRPr="009D24F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D24F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24F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9D24FF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2025-2033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E1189E" w:rsidRPr="00E1189E" w:rsidRDefault="009D24FF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F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A3C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кредитных ресурсов банков, организаций, предпринимателей.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D84" w:rsidRPr="00657D84" w:rsidRDefault="00657D84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574A3C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57D84"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A3C" w:rsidRDefault="00574A3C" w:rsidP="009D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Toc132716903"/>
    </w:p>
    <w:p w:rsidR="00BC64A7" w:rsidRDefault="00BC64A7" w:rsidP="009D24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A3C" w:rsidRDefault="00574A3C" w:rsidP="00DF1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lastRenderedPageBreak/>
        <w:t>1.Характеристика существующего состояния социальной инфраструктуры</w:t>
      </w:r>
    </w:p>
    <w:bookmarkEnd w:id="0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Краснояриха расположено в юго-западной части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центр сельского поселения – село Краснояриха, расположен в </w:t>
      </w:r>
      <w:smartTag w:uri="urn:schemas-microsoft-com:office:smarttags" w:element="metricconverter">
        <w:smartTagPr>
          <w:attr w:name="ProductID" w:val="23 км"/>
        </w:smartTagPr>
        <w:r w:rsidRPr="00BE4E05">
          <w:rPr>
            <w:rFonts w:ascii="Times New Roman" w:hAnsi="Times New Roman" w:cs="Times New Roman"/>
            <w:color w:val="auto"/>
            <w:sz w:val="28"/>
            <w:szCs w:val="28"/>
          </w:rPr>
          <w:t>23 км</w:t>
        </w:r>
      </w:smartTag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E4E05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. Челно-Вершины – административного центра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Законом Самарской области от 25 февраля </w:t>
      </w:r>
      <w:smartTag w:uri="urn:schemas-microsoft-com:office:smarttags" w:element="metricconverter">
        <w:smartTagPr>
          <w:attr w:name="ProductID" w:val="2005 г"/>
        </w:smartTagPr>
        <w:r w:rsidRPr="00BE4E05">
          <w:rPr>
            <w:rFonts w:ascii="Times New Roman" w:hAnsi="Times New Roman" w:cs="Times New Roman"/>
            <w:color w:val="auto"/>
            <w:sz w:val="28"/>
            <w:szCs w:val="28"/>
          </w:rPr>
          <w:t>2005 г</w:t>
        </w:r>
      </w:smartTag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. № 50-ГД «Об образовании сельских поселений в пределах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области, наделении их соответствующим статусом и установлении их границ» сельское поселение Краснояриха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включает в себя 10 населенных пунктов: село Краснояриха, поселок Воскресенка, поселок Советское Иглайкино, поселок Малый Нурлат, поселок Советский Нурлат, село Шламка</w:t>
      </w:r>
      <w:proofErr w:type="gramEnd"/>
      <w:r w:rsidRPr="00BE4E05">
        <w:rPr>
          <w:rFonts w:ascii="Times New Roman" w:hAnsi="Times New Roman" w:cs="Times New Roman"/>
          <w:color w:val="auto"/>
          <w:sz w:val="28"/>
          <w:szCs w:val="28"/>
        </w:rPr>
        <w:t>, поселок Раздолье, поселок Новый Нурлат, поселок Крыловка, поселок Ибряйкино.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Краснояриха граничит: 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– с сельским поселением Озерки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Челно-Вершинский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– с сельским поселением Русская Васильевка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Кошкинский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– с сельским поселением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Шпановка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BE4E05">
        <w:rPr>
          <w:rFonts w:ascii="Times New Roman" w:hAnsi="Times New Roman" w:cs="Times New Roman"/>
          <w:color w:val="auto"/>
          <w:sz w:val="28"/>
          <w:szCs w:val="28"/>
        </w:rPr>
        <w:t>Кошкинский</w:t>
      </w:r>
      <w:proofErr w:type="spellEnd"/>
      <w:r w:rsidRPr="00BE4E0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E4E05" w:rsidRPr="00BE4E05" w:rsidRDefault="00BE4E05" w:rsidP="00BE4E05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E4E05">
        <w:rPr>
          <w:rFonts w:ascii="Times New Roman" w:hAnsi="Times New Roman" w:cs="Times New Roman"/>
          <w:color w:val="auto"/>
          <w:sz w:val="28"/>
          <w:szCs w:val="28"/>
        </w:rPr>
        <w:t>– с Республикой.</w:t>
      </w:r>
    </w:p>
    <w:p w:rsidR="00BE4E05" w:rsidRDefault="00BE4E05" w:rsidP="00BE4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Toc55389930"/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Общая площадь сельского поселения Краснояриха составляет </w:t>
      </w:r>
      <w:smartTag w:uri="urn:schemas-microsoft-com:office:smarttags" w:element="metricconverter">
        <w:smartTagPr>
          <w:attr w:name="ProductID" w:val="14 114 га"/>
        </w:smartTagPr>
        <w:r w:rsidRPr="00BE4E0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14 114 га</w:t>
        </w:r>
      </w:smartTag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>. Численно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сть населения по данным на 01.01</w:t>
      </w:r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составила</w:t>
      </w:r>
    </w:p>
    <w:p w:rsidR="00BE4E05" w:rsidRPr="00BE4E05" w:rsidRDefault="00BE4E05" w:rsidP="00BE4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1</w:t>
      </w:r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38 </w:t>
      </w:r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человек. </w:t>
      </w:r>
      <w:proofErr w:type="gramStart"/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 поселения входят с. Краснояриха (административный центр), пос. Воскресенка, пос. Советское Иглайкино, пос. Малый Нурлат, пос. Советский Нурлат, с. Шламка, пос. Раздолье, пос. Крыловка, пос. Новый Нурлат, пос. Ибряйкино.</w:t>
      </w:r>
      <w:proofErr w:type="gramEnd"/>
    </w:p>
    <w:p w:rsidR="00BE4E05" w:rsidRPr="00BE4E05" w:rsidRDefault="00BE4E05" w:rsidP="00BE4E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E4E05" w:rsidRPr="00BE4E05" w:rsidRDefault="00BE4E05" w:rsidP="00BE4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4E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Наличие земельных ресурсов сельского поселения Краснояриха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831"/>
      </w:tblGrid>
      <w:tr w:rsidR="00BE4E05" w:rsidRPr="00BE4E05" w:rsidTr="00BC64A7">
        <w:trPr>
          <w:trHeight w:val="507"/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Категории земель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площадь, (</w:t>
            </w:r>
            <w:proofErr w:type="gramStart"/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Земли </w:t>
            </w:r>
            <w:proofErr w:type="spellStart"/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13 143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578,8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Земли промышленности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45,2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Земли лесного фонда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347,1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Земли водного фонда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E4E05" w:rsidRPr="00BE4E05" w:rsidTr="00BC64A7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 земель в границах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05" w:rsidRPr="00BE4E05" w:rsidRDefault="00BE4E05" w:rsidP="00BE4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4E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14 114</w:t>
            </w:r>
          </w:p>
        </w:tc>
      </w:tr>
    </w:tbl>
    <w:p w:rsidR="00BE4E05" w:rsidRPr="00BE4E05" w:rsidRDefault="00BE4E05" w:rsidP="00BE4E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4E05">
        <w:rPr>
          <w:rFonts w:ascii="Times New Roman" w:eastAsia="Times New Roman" w:hAnsi="Times New Roman" w:cs="Times New Roman"/>
          <w:sz w:val="28"/>
          <w:szCs w:val="28"/>
          <w:lang w:eastAsia="en-US"/>
        </w:rPr>
        <w:t> Из приведенной таблицы видно, что сельскохозяйственные угодья занимают 93 %.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4B0">
        <w:rPr>
          <w:rFonts w:ascii="Times New Roman" w:hAnsi="Times New Roman" w:cs="Times New Roman"/>
          <w:sz w:val="28"/>
          <w:szCs w:val="28"/>
        </w:rPr>
        <w:t> </w:t>
      </w:r>
      <w:r w:rsidR="00161315" w:rsidRPr="00E774B0">
        <w:rPr>
          <w:rFonts w:ascii="Times New Roman" w:hAnsi="Times New Roman" w:cs="Times New Roman"/>
          <w:sz w:val="28"/>
          <w:szCs w:val="28"/>
        </w:rPr>
        <w:t>Общая численность населения</w:t>
      </w:r>
      <w:r w:rsidRPr="00E77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BE4E05">
        <w:rPr>
          <w:rFonts w:ascii="Times New Roman" w:hAnsi="Times New Roman" w:cs="Times New Roman"/>
          <w:sz w:val="28"/>
          <w:szCs w:val="28"/>
        </w:rPr>
        <w:t xml:space="preserve"> </w:t>
      </w:r>
      <w:r w:rsidRPr="00E774B0"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="00161315" w:rsidRPr="00E774B0">
        <w:rPr>
          <w:rFonts w:ascii="Times New Roman" w:hAnsi="Times New Roman" w:cs="Times New Roman"/>
          <w:sz w:val="28"/>
          <w:szCs w:val="28"/>
        </w:rPr>
        <w:t>года составляет</w:t>
      </w:r>
      <w:r w:rsidRPr="00E774B0">
        <w:rPr>
          <w:rFonts w:ascii="Times New Roman" w:hAnsi="Times New Roman" w:cs="Times New Roman"/>
          <w:sz w:val="28"/>
          <w:szCs w:val="28"/>
        </w:rPr>
        <w:t xml:space="preserve"> </w:t>
      </w:r>
      <w:r w:rsidR="00BE4E05">
        <w:rPr>
          <w:rFonts w:ascii="Times New Roman" w:hAnsi="Times New Roman" w:cs="Times New Roman"/>
          <w:sz w:val="28"/>
          <w:szCs w:val="28"/>
        </w:rPr>
        <w:t>1138</w:t>
      </w:r>
      <w:r w:rsidRPr="00E774B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E774B0" w:rsidRDefault="00BC64A7" w:rsidP="00E77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Краснояриха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F72699" w:rsidRDefault="00F7269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F72699" w:rsidRDefault="00BC64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F72699" w:rsidRDefault="00A13A7A" w:rsidP="00E77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4B0" w:rsidRPr="00F7269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F72699" w:rsidRDefault="004E1C2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E774B0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F72699" w:rsidRDefault="00F72699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F72699" w:rsidRDefault="00BC64A7" w:rsidP="00E77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b/>
                <w:sz w:val="24"/>
                <w:szCs w:val="24"/>
              </w:rPr>
              <w:t>1138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F72699" w:rsidRDefault="00B62818" w:rsidP="00E77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E774B0" w:rsidRPr="00F7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F72699" w:rsidRDefault="004E1C2F" w:rsidP="004E1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-3,0</w:t>
            </w:r>
          </w:p>
        </w:tc>
      </w:tr>
    </w:tbl>
    <w:p w:rsidR="00F63583" w:rsidRPr="00F63583" w:rsidRDefault="00F63583" w:rsidP="00F63583">
      <w:pPr>
        <w:pStyle w:val="2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2A7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F63583">
        <w:rPr>
          <w:rFonts w:ascii="Times New Roman" w:hAnsi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19% </w:t>
      </w:r>
      <w:r w:rsidR="00023D88">
        <w:rPr>
          <w:rFonts w:ascii="Times New Roman" w:hAnsi="Times New Roman"/>
          <w:color w:val="000000"/>
          <w:sz w:val="28"/>
          <w:szCs w:val="28"/>
        </w:rPr>
        <w:t>(221 чел.) - населения старше 65</w:t>
      </w:r>
      <w:r w:rsidRPr="00F63583">
        <w:rPr>
          <w:rFonts w:ascii="Times New Roman" w:hAnsi="Times New Roman"/>
          <w:color w:val="000000"/>
          <w:sz w:val="28"/>
          <w:szCs w:val="28"/>
        </w:rPr>
        <w:t xml:space="preserve"> лет, 57% (6</w:t>
      </w:r>
      <w:r w:rsidR="00023D88">
        <w:rPr>
          <w:rFonts w:ascii="Times New Roman" w:hAnsi="Times New Roman"/>
          <w:color w:val="000000"/>
          <w:sz w:val="28"/>
          <w:szCs w:val="28"/>
        </w:rPr>
        <w:t>46 чел) - в возрасте от 18 до 64</w:t>
      </w:r>
      <w:r w:rsidRPr="00F63583">
        <w:rPr>
          <w:rFonts w:ascii="Times New Roman" w:hAnsi="Times New Roman"/>
          <w:color w:val="000000"/>
          <w:sz w:val="28"/>
          <w:szCs w:val="28"/>
        </w:rPr>
        <w:t xml:space="preserve"> лет и 24% (271чел.) - от 0 до 17 лет.</w:t>
      </w:r>
    </w:p>
    <w:p w:rsidR="002132A7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F0D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</w:t>
      </w:r>
      <w:r w:rsidR="00F34B50" w:rsidRPr="00B24F0D">
        <w:rPr>
          <w:rFonts w:ascii="Times New Roman" w:hAnsi="Times New Roman" w:cs="Times New Roman"/>
          <w:bCs/>
          <w:sz w:val="28"/>
          <w:szCs w:val="28"/>
        </w:rPr>
        <w:t>21</w:t>
      </w:r>
      <w:r w:rsidRPr="00B24F0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401"/>
        <w:gridCol w:w="1898"/>
        <w:gridCol w:w="2267"/>
        <w:gridCol w:w="1749"/>
      </w:tblGrid>
      <w:tr w:rsidR="00DC1453" w:rsidRPr="00DF1B19" w:rsidTr="009947D9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4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9947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от 0</w:t>
            </w:r>
            <w:r w:rsidR="00B24F0D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DC1453"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B24F0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65</w:t>
            </w:r>
            <w:r w:rsidR="003D4FC3"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B24F0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  <w:r w:rsidR="003D4FC3"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DC1453" w:rsidRPr="00DF1B19" w:rsidTr="009947D9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B927BF" w:rsidRDefault="00B24F0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Краснояриха 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B927BF" w:rsidRDefault="00B24F0D" w:rsidP="000D4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4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FC200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B24F0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B24F0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C1453" w:rsidRPr="00DF1B19" w:rsidTr="009947D9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53" w:rsidRPr="00B927BF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B927BF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023D88">
        <w:rPr>
          <w:rFonts w:ascii="Times New Roman" w:hAnsi="Times New Roman" w:cs="Times New Roman"/>
          <w:sz w:val="28"/>
          <w:szCs w:val="28"/>
        </w:rPr>
        <w:t>646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</w:t>
      </w:r>
      <w:r w:rsidR="00B927BF">
        <w:rPr>
          <w:rFonts w:ascii="Times New Roman" w:hAnsi="Times New Roman" w:cs="Times New Roman"/>
          <w:sz w:val="28"/>
          <w:szCs w:val="28"/>
        </w:rPr>
        <w:t>4</w:t>
      </w:r>
      <w:r w:rsidR="00F34B50" w:rsidRPr="00B927BF">
        <w:rPr>
          <w:rFonts w:ascii="Times New Roman" w:hAnsi="Times New Roman" w:cs="Times New Roman"/>
          <w:sz w:val="28"/>
          <w:szCs w:val="28"/>
        </w:rPr>
        <w:t>5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75AB5" w:rsidRDefault="00FC2005" w:rsidP="00B927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075AB5" w:rsidRDefault="00FC200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075AB5" w:rsidRDefault="00FC200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</w:t>
            </w:r>
            <w:r w:rsidR="00161315" w:rsidRPr="00DF1B19">
              <w:rPr>
                <w:rFonts w:ascii="Times New Roman" w:hAnsi="Times New Roman" w:cs="Times New Roman"/>
                <w:sz w:val="28"/>
                <w:szCs w:val="28"/>
              </w:rPr>
              <w:t>ва жителей</w:t>
            </w: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E5502" w:rsidRDefault="00FC200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3E5502" w:rsidRDefault="00FC200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1A679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161315" w:rsidRPr="001A6795">
              <w:rPr>
                <w:rFonts w:ascii="Times New Roman" w:hAnsi="Times New Roman" w:cs="Times New Roman"/>
                <w:sz w:val="28"/>
                <w:szCs w:val="28"/>
              </w:rPr>
              <w:t>дворов,</w:t>
            </w: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1A6795" w:rsidP="00075A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1A6795" w:rsidRDefault="001A679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9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DC1453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023D88">
        <w:rPr>
          <w:rFonts w:ascii="Times New Roman" w:hAnsi="Times New Roman" w:cs="Times New Roman"/>
          <w:sz w:val="28"/>
          <w:szCs w:val="28"/>
        </w:rPr>
        <w:t>46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="00161315" w:rsidRPr="00DF1B19">
        <w:rPr>
          <w:rFonts w:ascii="Times New Roman" w:hAnsi="Times New Roman" w:cs="Times New Roman"/>
          <w:sz w:val="28"/>
          <w:szCs w:val="28"/>
        </w:rPr>
        <w:t>Пенсионеры составляют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="004E5681">
        <w:rPr>
          <w:rFonts w:ascii="Times New Roman" w:hAnsi="Times New Roman" w:cs="Times New Roman"/>
          <w:sz w:val="28"/>
          <w:szCs w:val="28"/>
        </w:rPr>
        <w:t>21</w:t>
      </w:r>
      <w:r w:rsidR="00161315" w:rsidRPr="00DF1B19">
        <w:rPr>
          <w:rFonts w:ascii="Times New Roman" w:hAnsi="Times New Roman" w:cs="Times New Roman"/>
          <w:sz w:val="28"/>
          <w:szCs w:val="28"/>
        </w:rPr>
        <w:t>% населения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D88" w:rsidRPr="00DF1B19" w:rsidRDefault="00023D8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lastRenderedPageBreak/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</w:t>
      </w:r>
      <w:proofErr w:type="gramStart"/>
      <w:r w:rsidRPr="00DF1B1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315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61315" w:rsidRPr="00DF1B19">
              <w:rPr>
                <w:rFonts w:ascii="Times New Roman" w:hAnsi="Times New Roman" w:cs="Times New Roman"/>
                <w:sz w:val="24"/>
                <w:szCs w:val="24"/>
              </w:rPr>
              <w:t>лощади, в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3E5502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3E5502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3E55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3E5502" w:rsidRDefault="003E550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3E5502" w:rsidRDefault="003E550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3E5502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3E5502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3E5502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7C74F7" w:rsidRDefault="006C1B9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3E5502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1D14CB">
        <w:rPr>
          <w:rFonts w:ascii="Times New Roman" w:hAnsi="Times New Roman" w:cs="Times New Roman"/>
          <w:sz w:val="28"/>
          <w:szCs w:val="28"/>
        </w:rPr>
        <w:t xml:space="preserve"> </w:t>
      </w:r>
      <w:r w:rsidR="00161315" w:rsidRPr="003E5502">
        <w:rPr>
          <w:rFonts w:ascii="Times New Roman" w:hAnsi="Times New Roman" w:cs="Times New Roman"/>
          <w:sz w:val="28"/>
          <w:szCs w:val="28"/>
        </w:rPr>
        <w:t>участвуют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в различных программах по обеспечению жильем: «Устойчивое развитие территорий», «Жилье молодым семьям», где из федерального и областного </w:t>
      </w:r>
      <w:r w:rsidR="00161315" w:rsidRPr="003E5502">
        <w:rPr>
          <w:rFonts w:ascii="Times New Roman" w:hAnsi="Times New Roman" w:cs="Times New Roman"/>
          <w:sz w:val="28"/>
          <w:szCs w:val="28"/>
        </w:rPr>
        <w:t>бюджетов выделяется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гражданам на строительство, приобретение жилья до 70% от </w:t>
      </w:r>
      <w:r w:rsidR="00161315" w:rsidRPr="003E5502">
        <w:rPr>
          <w:rFonts w:ascii="Times New Roman" w:hAnsi="Times New Roman" w:cs="Times New Roman"/>
          <w:sz w:val="28"/>
          <w:szCs w:val="28"/>
        </w:rPr>
        <w:t>стоимости построенного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, приобретенного </w:t>
      </w:r>
      <w:r w:rsidR="00161315" w:rsidRPr="003E5502">
        <w:rPr>
          <w:rFonts w:ascii="Times New Roman" w:hAnsi="Times New Roman" w:cs="Times New Roman"/>
          <w:sz w:val="28"/>
          <w:szCs w:val="28"/>
        </w:rPr>
        <w:t>жилья в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виде безвозмездных субсидий.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502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       К </w:t>
      </w:r>
      <w:r w:rsidR="00161315" w:rsidRPr="003E5502">
        <w:rPr>
          <w:rFonts w:ascii="Times New Roman" w:hAnsi="Times New Roman" w:cs="Times New Roman"/>
          <w:sz w:val="28"/>
          <w:szCs w:val="28"/>
        </w:rPr>
        <w:t>услугам ЖКХ, предоставляемым в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</w:t>
      </w:r>
      <w:r w:rsidR="00161315" w:rsidRPr="003E5502">
        <w:rPr>
          <w:rFonts w:ascii="Times New Roman" w:hAnsi="Times New Roman" w:cs="Times New Roman"/>
          <w:sz w:val="28"/>
          <w:szCs w:val="28"/>
        </w:rPr>
        <w:t>поселении, относится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теплоснабжение, водоснабжение и вывоз мусора. </w:t>
      </w:r>
      <w:r w:rsidR="003E5502" w:rsidRPr="003E5502">
        <w:rPr>
          <w:rFonts w:ascii="Times New Roman" w:hAnsi="Times New Roman" w:cs="Times New Roman"/>
          <w:sz w:val="28"/>
          <w:szCs w:val="28"/>
        </w:rPr>
        <w:t>Н</w:t>
      </w:r>
      <w:r w:rsidR="00A171DA" w:rsidRPr="003E5502">
        <w:rPr>
          <w:rFonts w:ascii="Times New Roman" w:hAnsi="Times New Roman" w:cs="Times New Roman"/>
          <w:sz w:val="28"/>
          <w:szCs w:val="28"/>
        </w:rPr>
        <w:t>аселенны</w:t>
      </w:r>
      <w:r w:rsidR="003E5502" w:rsidRPr="003E5502">
        <w:rPr>
          <w:rFonts w:ascii="Times New Roman" w:hAnsi="Times New Roman" w:cs="Times New Roman"/>
          <w:sz w:val="28"/>
          <w:szCs w:val="28"/>
        </w:rPr>
        <w:t>й</w:t>
      </w:r>
      <w:r w:rsidR="00A171DA" w:rsidRPr="003E5502">
        <w:rPr>
          <w:rFonts w:ascii="Times New Roman" w:hAnsi="Times New Roman" w:cs="Times New Roman"/>
          <w:sz w:val="28"/>
          <w:szCs w:val="28"/>
        </w:rPr>
        <w:t xml:space="preserve"> пункт газифицирован.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6C1B97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DF1B19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2" w:name="_Toc132716914"/>
      <w:bookmarkEnd w:id="2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E361F1">
        <w:rPr>
          <w:rFonts w:ascii="Times New Roman" w:hAnsi="Times New Roman" w:cs="Times New Roman"/>
          <w:sz w:val="28"/>
          <w:szCs w:val="28"/>
        </w:rPr>
        <w:t xml:space="preserve">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E361F1">
        <w:rPr>
          <w:rFonts w:ascii="Times New Roman" w:hAnsi="Times New Roman" w:cs="Times New Roman"/>
          <w:sz w:val="28"/>
          <w:szCs w:val="28"/>
        </w:rPr>
        <w:t xml:space="preserve"> </w:t>
      </w:r>
      <w:r w:rsidR="00161315" w:rsidRPr="00DF1B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B1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r w:rsidR="00E361F1">
        <w:rPr>
          <w:rFonts w:ascii="Times New Roman" w:hAnsi="Times New Roman" w:cs="Times New Roman"/>
          <w:sz w:val="28"/>
          <w:szCs w:val="28"/>
        </w:rPr>
        <w:t>Краснояриха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E361F1">
        <w:rPr>
          <w:rFonts w:ascii="Times New Roman" w:hAnsi="Times New Roman" w:cs="Times New Roman"/>
          <w:sz w:val="28"/>
          <w:szCs w:val="28"/>
        </w:rPr>
        <w:t>Краснояриха</w:t>
      </w:r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Краснояриха осуществляют: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 xml:space="preserve">- сельский клуб с. Краснояриха, ул. </w:t>
      </w:r>
      <w:proofErr w:type="gramStart"/>
      <w:r w:rsidRPr="00E361F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361F1">
        <w:rPr>
          <w:rFonts w:ascii="Times New Roman" w:hAnsi="Times New Roman" w:cs="Times New Roman"/>
          <w:sz w:val="28"/>
          <w:szCs w:val="28"/>
        </w:rPr>
        <w:t>, 10;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 xml:space="preserve">- сельский дом культуры с. Шламка, ул. </w:t>
      </w:r>
      <w:proofErr w:type="gramStart"/>
      <w:r w:rsidRPr="00E361F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361F1">
        <w:rPr>
          <w:rFonts w:ascii="Times New Roman" w:hAnsi="Times New Roman" w:cs="Times New Roman"/>
          <w:sz w:val="28"/>
          <w:szCs w:val="28"/>
        </w:rPr>
        <w:t>, 66;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 xml:space="preserve">- сельский дом культуры пос. Малый Нурлат, ул. </w:t>
      </w:r>
      <w:proofErr w:type="gramStart"/>
      <w:r w:rsidRPr="00E361F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E361F1">
        <w:rPr>
          <w:rFonts w:ascii="Times New Roman" w:hAnsi="Times New Roman" w:cs="Times New Roman"/>
          <w:sz w:val="28"/>
          <w:szCs w:val="28"/>
        </w:rPr>
        <w:t>, 1,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>- библиотека с. Краснояриха, ул. Центральная, 10;</w:t>
      </w:r>
    </w:p>
    <w:p w:rsidR="00E361F1" w:rsidRP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>- библиотека с Шламка, ул. Центральная, 66;</w:t>
      </w:r>
    </w:p>
    <w:p w:rsidR="00E361F1" w:rsidRDefault="00E361F1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1F1">
        <w:rPr>
          <w:rFonts w:ascii="Times New Roman" w:hAnsi="Times New Roman" w:cs="Times New Roman"/>
          <w:sz w:val="28"/>
          <w:szCs w:val="28"/>
        </w:rPr>
        <w:t>- библиотека пос. Малый Нурлат, ул. Молодежная, 1.</w:t>
      </w:r>
    </w:p>
    <w:p w:rsidR="00CB5004" w:rsidRPr="00DF1B19" w:rsidRDefault="00654A2D" w:rsidP="00E36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075AB5">
        <w:rPr>
          <w:rFonts w:ascii="Times New Roman" w:hAnsi="Times New Roman" w:cs="Times New Roman"/>
          <w:sz w:val="28"/>
          <w:szCs w:val="28"/>
        </w:rPr>
        <w:t>С</w:t>
      </w:r>
      <w:r w:rsidR="00CB5004" w:rsidRPr="00DF1B19">
        <w:rPr>
          <w:rFonts w:ascii="Times New Roman" w:hAnsi="Times New Roman" w:cs="Times New Roman"/>
          <w:sz w:val="28"/>
          <w:szCs w:val="28"/>
        </w:rPr>
        <w:t>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r w:rsidR="00161315" w:rsidRPr="00DF1B19">
        <w:rPr>
          <w:rFonts w:ascii="Times New Roman" w:hAnsi="Times New Roman" w:cs="Times New Roman"/>
          <w:sz w:val="28"/>
          <w:szCs w:val="28"/>
        </w:rPr>
        <w:t>работы является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</w:t>
      </w:r>
      <w:r w:rsidR="00161315" w:rsidRPr="00DF1B19">
        <w:rPr>
          <w:rFonts w:ascii="Times New Roman" w:hAnsi="Times New Roman" w:cs="Times New Roman"/>
          <w:sz w:val="28"/>
          <w:szCs w:val="28"/>
        </w:rPr>
        <w:t>и увеличить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DF1B19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F1" w:rsidRDefault="00E361F1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1F1" w:rsidRDefault="00E361F1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1F1" w:rsidRDefault="00E361F1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361F1" w:rsidRPr="00DF1B19" w:rsidRDefault="00E361F1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895"/>
        <w:gridCol w:w="1052"/>
        <w:gridCol w:w="1985"/>
        <w:gridCol w:w="1481"/>
        <w:gridCol w:w="2488"/>
      </w:tblGrid>
      <w:tr w:rsidR="00E361F1" w:rsidRPr="00DF1B19" w:rsidTr="00E361F1">
        <w:trPr>
          <w:gridAfter w:val="4"/>
          <w:wAfter w:w="7006" w:type="dxa"/>
          <w:trHeight w:val="680"/>
        </w:trPr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DF1B19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E361F1" w:rsidTr="00E361F1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47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Мощность, м</w:t>
            </w:r>
            <w:proofErr w:type="gramStart"/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</w:t>
            </w:r>
            <w:proofErr w:type="spellEnd"/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пола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Состояние</w:t>
            </w:r>
          </w:p>
        </w:tc>
      </w:tr>
      <w:tr w:rsidR="00E361F1" w:rsidRPr="00E361F1" w:rsidTr="00E361F1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E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7" w:type="dxa"/>
            <w:gridSpan w:val="2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в составе ГБОУ ООШ с. Краснояриха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Краснояриха ул. Школьная, 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145,3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361F1" w:rsidRPr="00E361F1" w:rsidTr="00E361F1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E361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7" w:type="dxa"/>
            <w:gridSpan w:val="2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в составе ГБОУ СОШ с. Шламка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Шламка, ул. Центральная, 68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150,2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  <w:tr w:rsidR="00E361F1" w:rsidRPr="00E361F1" w:rsidTr="00E361F1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E361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47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Универсальная спортивная площадка с. Шламка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Шламка, ул. Центральная, 70А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40х60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1F1" w:rsidRPr="00E361F1" w:rsidRDefault="00E361F1" w:rsidP="00E361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</w:tr>
    </w:tbl>
    <w:p w:rsidR="00E361F1" w:rsidRPr="00E361F1" w:rsidRDefault="00E361F1" w:rsidP="00E361F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61F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спортивных залах школ с. Краснояриха и Шламка ведется спортивная работа в футбольных, баскетбольных и волейбольных секциях.</w:t>
      </w:r>
    </w:p>
    <w:p w:rsidR="00075AB5" w:rsidRDefault="00075AB5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ED349F">
        <w:trPr>
          <w:trHeight w:val="666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ООШ с. Краснояриха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Краснояриха, ул. Школьная, 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ООШ пос. Советское Иглайкино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Малый Нурлат, ул. </w:t>
            </w:r>
            <w:proofErr w:type="gramStart"/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СОШ с. Шламка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Шламка, ул. Центральная, 68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ООШ с. Краснояриха – структурное подразделение Детский сад «Рябинка»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Краснояриха, ул. Школьная,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F1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СОШ с. Шламка – структурное подразделение детский сад «Ягодка»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Шламка, ул. Центральная, 72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Численность обучающихся в общеобразовательном учреждении на территории поселения -</w:t>
      </w:r>
      <w:r w:rsidR="00E361F1">
        <w:rPr>
          <w:rFonts w:ascii="Times New Roman" w:hAnsi="Times New Roman" w:cs="Times New Roman"/>
          <w:sz w:val="28"/>
          <w:szCs w:val="28"/>
        </w:rPr>
        <w:t xml:space="preserve"> 71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чел., </w:t>
      </w:r>
      <w:r w:rsidR="00161315" w:rsidRPr="00DF1B19">
        <w:rPr>
          <w:rFonts w:ascii="Times New Roman" w:hAnsi="Times New Roman" w:cs="Times New Roman"/>
          <w:sz w:val="28"/>
          <w:szCs w:val="28"/>
        </w:rPr>
        <w:t>численность детей,</w:t>
      </w:r>
      <w:r w:rsidRPr="00DF1B19">
        <w:rPr>
          <w:rFonts w:ascii="Times New Roman" w:hAnsi="Times New Roman" w:cs="Times New Roman"/>
          <w:sz w:val="28"/>
          <w:szCs w:val="28"/>
        </w:rPr>
        <w:t xml:space="preserve"> посещающих детский сад –</w:t>
      </w:r>
      <w:r w:rsidR="00E361F1">
        <w:rPr>
          <w:rFonts w:ascii="Times New Roman" w:hAnsi="Times New Roman" w:cs="Times New Roman"/>
          <w:sz w:val="28"/>
          <w:szCs w:val="28"/>
        </w:rPr>
        <w:t xml:space="preserve"> 20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3"/>
    </w:p>
    <w:p w:rsidR="004E5681" w:rsidRDefault="004E5681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AC481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361F1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bCs/>
                <w:sz w:val="24"/>
                <w:szCs w:val="24"/>
              </w:rPr>
              <w:t>ФАП с. Краснояриха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bCs/>
                <w:sz w:val="24"/>
                <w:szCs w:val="24"/>
              </w:rPr>
              <w:t>с. Краснояриха, ул. Центральная, 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E361F1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ФАП пос. Малый Нурлат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 xml:space="preserve">Пос. Малый Нурлат, ул. </w:t>
            </w:r>
            <w:proofErr w:type="gramStart"/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361F1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ФАП с. Шламка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с. Шламка, ул. Центральная, 20</w:t>
            </w:r>
            <w:proofErr w:type="gramStart"/>
            <w:r w:rsidRPr="00E361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F1" w:rsidRPr="00E361F1" w:rsidRDefault="00E361F1" w:rsidP="0057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F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2716910"/>
      <w:bookmarkEnd w:id="4"/>
      <w:r w:rsidRPr="00DF1B19">
        <w:rPr>
          <w:rFonts w:ascii="Times New Roman" w:hAnsi="Times New Roman" w:cs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7457D" w:rsidRDefault="00B7457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72426C" w:rsidRPr="0072426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Краснояриха осуществляет свою деятельность отделение № 9 ГБУ </w:t>
      </w:r>
      <w:proofErr w:type="gramStart"/>
      <w:r w:rsidR="0072426C" w:rsidRPr="007242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426C" w:rsidRPr="0072426C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="0072426C" w:rsidRPr="0072426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2426C" w:rsidRPr="0072426C">
        <w:rPr>
          <w:rFonts w:ascii="Times New Roman" w:hAnsi="Times New Roman" w:cs="Times New Roman"/>
          <w:sz w:val="28"/>
          <w:szCs w:val="28"/>
        </w:rPr>
        <w:t>». Численность сотрудников – 11 человек, обслуживается  110 человека.</w:t>
      </w: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3F39A6" w:rsidRPr="005962B1" w:rsidRDefault="00C2188E" w:rsidP="003F39A6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</w:t>
      </w:r>
      <w:proofErr w:type="gramStart"/>
      <w:r w:rsidR="009D24FF">
        <w:rPr>
          <w:rFonts w:ascii="Times New Roman" w:hAnsi="Times New Roman" w:cs="Times New Roman"/>
          <w:sz w:val="28"/>
          <w:szCs w:val="28"/>
        </w:rPr>
        <w:t>а</w:t>
      </w:r>
      <w:r w:rsidRPr="005962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62B1">
        <w:rPr>
          <w:rFonts w:ascii="Times New Roman" w:hAnsi="Times New Roman" w:cs="Times New Roman"/>
          <w:sz w:val="28"/>
          <w:szCs w:val="28"/>
        </w:rPr>
        <w:t xml:space="preserve">перспективная численность населения </w:t>
      </w:r>
      <w:r w:rsidR="0072426C">
        <w:rPr>
          <w:rFonts w:ascii="Times New Roman" w:hAnsi="Times New Roman" w:cs="Times New Roman"/>
          <w:sz w:val="28"/>
          <w:szCs w:val="28"/>
        </w:rPr>
        <w:t>1138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3F39A6" w:rsidRPr="005962B1" w:rsidTr="008A113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 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3F39A6" w:rsidRPr="005962B1" w:rsidTr="008A113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A6" w:rsidRPr="005962B1" w:rsidRDefault="003F39A6" w:rsidP="008A1136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A6" w:rsidRPr="005962B1" w:rsidRDefault="003F39A6" w:rsidP="008A1136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A6" w:rsidRPr="005962B1" w:rsidRDefault="003F39A6" w:rsidP="008A1136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A6" w:rsidRPr="005962B1" w:rsidRDefault="003F39A6" w:rsidP="008A1136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9A6" w:rsidRPr="005962B1" w:rsidRDefault="003F39A6" w:rsidP="008A1136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DA">
              <w:rPr>
                <w:rFonts w:ascii="Times New Roman" w:hAnsi="Times New Roman" w:cs="Times New Roman"/>
                <w:sz w:val="24"/>
                <w:szCs w:val="24"/>
              </w:rPr>
              <w:t>50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3F3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E61FC8" w:rsidRDefault="003F39A6" w:rsidP="003F39A6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DA">
              <w:rPr>
                <w:rFonts w:ascii="Times New Roman" w:hAnsi="Times New Roman" w:cs="Times New Roman"/>
                <w:sz w:val="24"/>
                <w:szCs w:val="24"/>
              </w:rPr>
              <w:t>120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3F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3F3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E61FC8" w:rsidRDefault="003F39A6" w:rsidP="003F39A6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E61FC8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8A11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481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5962B1" w:rsidRDefault="00AC481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ФАП, офис врача общей практики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9C55DC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F4781D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16" w:rsidRPr="00F4781D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16" w:rsidRPr="009C55DC" w:rsidRDefault="00AC481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9A6" w:rsidRPr="005962B1" w:rsidTr="008A1136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F4781D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3F39A6" w:rsidRPr="005962B1" w:rsidTr="008A1136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6B1EFE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6B1EFE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8A113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8A113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6B1EFE" w:rsidP="006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39A6" w:rsidRPr="009C55DC">
              <w:rPr>
                <w:rFonts w:ascii="Times New Roman" w:hAnsi="Times New Roman" w:cs="Times New Roman"/>
                <w:sz w:val="24"/>
                <w:szCs w:val="24"/>
              </w:rPr>
              <w:t>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6B1EFE" w:rsidP="006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6B1EFE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9A6" w:rsidRPr="003813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EA48D3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AC4816" w:rsidRDefault="00AC481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AC4816" w:rsidP="008A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6B1EFE" w:rsidRDefault="006B1EFE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6B1EFE" w:rsidRDefault="006B1EFE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AC4816" w:rsidP="008A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</w:tr>
      <w:tr w:rsidR="003F39A6" w:rsidRPr="005962B1" w:rsidTr="008A1136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AC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6B1EFE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F39A6"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3F39A6" w:rsidRPr="009C5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F39A6"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6B1EFE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6B1EFE" w:rsidP="008A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6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6B1EFE" w:rsidRDefault="006B1EFE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6B1EFE" w:rsidRDefault="006B1EFE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6B1EFE" w:rsidP="008A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0,77</w:t>
            </w:r>
          </w:p>
        </w:tc>
      </w:tr>
      <w:tr w:rsidR="003F39A6" w:rsidRPr="005962B1" w:rsidTr="008A1136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8A113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113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8A11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8A11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  <w:bookmarkStart w:id="5" w:name="_GoBack"/>
            <w:bookmarkEnd w:id="5"/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DD6E54" w:rsidRDefault="003F39A6" w:rsidP="008A11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="008A11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3F39A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39A6" w:rsidRPr="005962B1" w:rsidTr="008A11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AC481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5962B1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8A1136" w:rsidP="008A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9A6" w:rsidRPr="003813F4" w:rsidRDefault="008A1136" w:rsidP="008A1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6" w:rsidRPr="009C55DC" w:rsidRDefault="003F39A6" w:rsidP="008A1136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F39A6" w:rsidRDefault="003F39A6" w:rsidP="003F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9A6" w:rsidRDefault="003F39A6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A6" w:rsidRDefault="003F39A6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C2188E">
          <w:pgSz w:w="16838" w:h="11906" w:orient="landscape"/>
          <w:pgMar w:top="1560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72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</w:t>
      </w:r>
      <w:r w:rsidR="006D3687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6D3687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9D24FF">
        <w:rPr>
          <w:rFonts w:ascii="Times New Roman" w:hAnsi="Times New Roman" w:cs="Times New Roman"/>
          <w:sz w:val="28"/>
        </w:rPr>
        <w:t>Краснояриха</w:t>
      </w:r>
      <w:r w:rsidR="007242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7D61DF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r w:rsidR="007E62F4">
        <w:rPr>
          <w:rFonts w:ascii="Times New Roman" w:hAnsi="Times New Roman" w:cs="Times New Roman"/>
          <w:sz w:val="28"/>
          <w:szCs w:val="28"/>
        </w:rPr>
        <w:t>Токмакла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7E62F4">
        <w:rPr>
          <w:rFonts w:ascii="Times New Roman" w:hAnsi="Times New Roman" w:cs="Times New Roman"/>
          <w:sz w:val="28"/>
          <w:szCs w:val="28"/>
        </w:rPr>
        <w:t>Токмакла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4E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4E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6C31EF">
        <w:rPr>
          <w:rFonts w:ascii="Times New Roman" w:hAnsi="Times New Roman" w:cs="Times New Roman"/>
          <w:sz w:val="28"/>
          <w:szCs w:val="28"/>
        </w:rPr>
        <w:t>Краснояриха.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C31EF">
        <w:rPr>
          <w:rFonts w:ascii="Times New Roman" w:hAnsi="Times New Roman" w:cs="Times New Roman"/>
          <w:b/>
          <w:sz w:val="28"/>
          <w:szCs w:val="28"/>
        </w:rPr>
        <w:t>Краснояриха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045"/>
        <w:gridCol w:w="2644"/>
        <w:gridCol w:w="2644"/>
        <w:gridCol w:w="2644"/>
        <w:gridCol w:w="2644"/>
      </w:tblGrid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44" w:type="dxa"/>
          </w:tcPr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Краснояриха</w:t>
            </w:r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Воскресенка</w:t>
            </w:r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Шламка</w:t>
            </w:r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Нурлат</w:t>
            </w:r>
          </w:p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Иглайкино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44" w:type="dxa"/>
          </w:tcPr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450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 га</w:t>
            </w:r>
          </w:p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 га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физкультурно-спортивные сооружения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Раздолье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Трибуны на 500 мест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Краснояриха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мест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со спортивным залом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Краснояриха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мест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5D6A8E" w:rsidTr="005D6A8E">
        <w:tc>
          <w:tcPr>
            <w:tcW w:w="1242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Краснояриха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 га</w:t>
            </w:r>
          </w:p>
        </w:tc>
        <w:tc>
          <w:tcPr>
            <w:tcW w:w="2644" w:type="dxa"/>
          </w:tcPr>
          <w:p w:rsidR="005D6A8E" w:rsidRPr="005D6A8E" w:rsidRDefault="005D6A8E" w:rsidP="00DF473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</w:tbl>
    <w:p w:rsidR="005D6A8E" w:rsidRDefault="005D6A8E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24FF">
        <w:rPr>
          <w:rFonts w:ascii="Times New Roman" w:hAnsi="Times New Roman" w:cs="Times New Roman"/>
          <w:b/>
          <w:sz w:val="28"/>
          <w:szCs w:val="28"/>
        </w:rPr>
        <w:t>Краснояриха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06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168"/>
      </w:tblGrid>
      <w:tr w:rsidR="00DF4735" w:rsidRPr="00DF4735" w:rsidTr="006D3687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6D3687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6D3687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6D3687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6D3687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6D3687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6D3687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4E5681">
        <w:rPr>
          <w:rFonts w:ascii="Times New Roman" w:hAnsi="Times New Roman" w:cs="Times New Roman"/>
          <w:sz w:val="28"/>
          <w:szCs w:val="28"/>
        </w:rPr>
        <w:t xml:space="preserve"> </w:t>
      </w:r>
      <w:r w:rsidRPr="009F4062">
        <w:rPr>
          <w:rFonts w:ascii="Times New Roman" w:hAnsi="Times New Roman" w:cs="Times New Roman"/>
          <w:sz w:val="28"/>
          <w:szCs w:val="28"/>
        </w:rPr>
        <w:t xml:space="preserve">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4E5681">
        <w:rPr>
          <w:rFonts w:ascii="Times New Roman" w:hAnsi="Times New Roman" w:cs="Times New Roman"/>
          <w:sz w:val="28"/>
          <w:szCs w:val="28"/>
        </w:rPr>
        <w:t>Красноярих</w:t>
      </w:r>
      <w:r w:rsidR="007E62F4">
        <w:rPr>
          <w:rFonts w:ascii="Times New Roman" w:hAnsi="Times New Roman" w:cs="Times New Roman"/>
          <w:sz w:val="28"/>
          <w:szCs w:val="28"/>
        </w:rPr>
        <w:t>а</w:t>
      </w:r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4E5681">
        <w:rPr>
          <w:rFonts w:ascii="Times New Roman" w:hAnsi="Times New Roman" w:cs="Times New Roman"/>
          <w:sz w:val="28"/>
          <w:szCs w:val="28"/>
        </w:rPr>
        <w:t>Краснояриха</w:t>
      </w:r>
      <w:r w:rsidRPr="009F4062">
        <w:rPr>
          <w:rFonts w:ascii="Times New Roman" w:hAnsi="Times New Roman" w:cs="Times New Roman"/>
          <w:sz w:val="28"/>
          <w:szCs w:val="28"/>
        </w:rPr>
        <w:t xml:space="preserve">. </w:t>
      </w:r>
      <w:r w:rsidR="004E5681">
        <w:rPr>
          <w:rFonts w:ascii="Times New Roman" w:hAnsi="Times New Roman" w:cs="Times New Roman"/>
          <w:sz w:val="28"/>
          <w:szCs w:val="28"/>
        </w:rPr>
        <w:t xml:space="preserve"> </w:t>
      </w:r>
      <w:r w:rsidRPr="009F4062">
        <w:rPr>
          <w:rFonts w:ascii="Times New Roman" w:hAnsi="Times New Roman" w:cs="Times New Roman"/>
          <w:sz w:val="28"/>
          <w:szCs w:val="28"/>
        </w:rPr>
        <w:t xml:space="preserve">Данные программы должны обеспечивать сбалансированное перспективное развитие социальной инфраструктуры сельского поселения </w:t>
      </w:r>
      <w:r w:rsidR="009D24FF">
        <w:rPr>
          <w:rFonts w:ascii="Times New Roman" w:hAnsi="Times New Roman" w:cs="Times New Roman"/>
          <w:sz w:val="28"/>
          <w:szCs w:val="28"/>
        </w:rPr>
        <w:t>Краснояриха</w:t>
      </w:r>
      <w:r w:rsidR="004E5681">
        <w:rPr>
          <w:rFonts w:ascii="Times New Roman" w:hAnsi="Times New Roman" w:cs="Times New Roman"/>
          <w:sz w:val="28"/>
          <w:szCs w:val="28"/>
        </w:rPr>
        <w:t xml:space="preserve"> </w:t>
      </w:r>
      <w:r w:rsidRPr="009F4062">
        <w:rPr>
          <w:rFonts w:ascii="Times New Roman" w:hAnsi="Times New Roman" w:cs="Times New Roman"/>
          <w:sz w:val="28"/>
          <w:szCs w:val="28"/>
        </w:rPr>
        <w:t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A0" w:rsidRDefault="000D42A0" w:rsidP="00E86522">
      <w:pPr>
        <w:spacing w:after="0" w:line="240" w:lineRule="auto"/>
      </w:pPr>
      <w:r>
        <w:separator/>
      </w:r>
    </w:p>
  </w:endnote>
  <w:endnote w:type="continuationSeparator" w:id="0">
    <w:p w:rsidR="000D42A0" w:rsidRDefault="000D42A0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>
    <w:pPr>
      <w:pStyle w:val="aa"/>
      <w:jc w:val="center"/>
    </w:pPr>
  </w:p>
  <w:p w:rsidR="00F72699" w:rsidRDefault="00F72699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>
    <w:pPr>
      <w:pStyle w:val="aa"/>
      <w:jc w:val="center"/>
    </w:pPr>
  </w:p>
  <w:p w:rsidR="00F72699" w:rsidRDefault="00F72699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A0" w:rsidRDefault="000D42A0" w:rsidP="00E86522">
      <w:pPr>
        <w:spacing w:after="0" w:line="240" w:lineRule="auto"/>
      </w:pPr>
      <w:r>
        <w:separator/>
      </w:r>
    </w:p>
  </w:footnote>
  <w:footnote w:type="continuationSeparator" w:id="0">
    <w:p w:rsidR="000D42A0" w:rsidRDefault="000D42A0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9" w:rsidRDefault="00F72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131E1"/>
    <w:rsid w:val="00020793"/>
    <w:rsid w:val="00023D88"/>
    <w:rsid w:val="000345A7"/>
    <w:rsid w:val="00034C84"/>
    <w:rsid w:val="000476D1"/>
    <w:rsid w:val="00075AB5"/>
    <w:rsid w:val="0008275D"/>
    <w:rsid w:val="0008483E"/>
    <w:rsid w:val="0008651F"/>
    <w:rsid w:val="00094632"/>
    <w:rsid w:val="000A69DC"/>
    <w:rsid w:val="000C2558"/>
    <w:rsid w:val="000C4E8C"/>
    <w:rsid w:val="000D03EA"/>
    <w:rsid w:val="000D42A0"/>
    <w:rsid w:val="000D465B"/>
    <w:rsid w:val="00105E31"/>
    <w:rsid w:val="00151374"/>
    <w:rsid w:val="00161315"/>
    <w:rsid w:val="00162220"/>
    <w:rsid w:val="00167AC9"/>
    <w:rsid w:val="001731EB"/>
    <w:rsid w:val="00195215"/>
    <w:rsid w:val="001A6795"/>
    <w:rsid w:val="001B3ACA"/>
    <w:rsid w:val="001B61E9"/>
    <w:rsid w:val="001D14CB"/>
    <w:rsid w:val="001D629E"/>
    <w:rsid w:val="001F1336"/>
    <w:rsid w:val="00204A35"/>
    <w:rsid w:val="002132A7"/>
    <w:rsid w:val="0022031B"/>
    <w:rsid w:val="0024513D"/>
    <w:rsid w:val="00280E2F"/>
    <w:rsid w:val="0028489C"/>
    <w:rsid w:val="00286DE3"/>
    <w:rsid w:val="002C770B"/>
    <w:rsid w:val="002D2D9F"/>
    <w:rsid w:val="002D7AC4"/>
    <w:rsid w:val="002F285B"/>
    <w:rsid w:val="003041E2"/>
    <w:rsid w:val="00336C76"/>
    <w:rsid w:val="00370FD9"/>
    <w:rsid w:val="0037282E"/>
    <w:rsid w:val="0038784C"/>
    <w:rsid w:val="003D07B3"/>
    <w:rsid w:val="003D4FC3"/>
    <w:rsid w:val="003E5502"/>
    <w:rsid w:val="003F39A6"/>
    <w:rsid w:val="003F7A3F"/>
    <w:rsid w:val="00402DA0"/>
    <w:rsid w:val="0041546A"/>
    <w:rsid w:val="00415C4B"/>
    <w:rsid w:val="00422876"/>
    <w:rsid w:val="004277D3"/>
    <w:rsid w:val="00431BB7"/>
    <w:rsid w:val="00434043"/>
    <w:rsid w:val="00444C17"/>
    <w:rsid w:val="0046029C"/>
    <w:rsid w:val="00475F44"/>
    <w:rsid w:val="00476C98"/>
    <w:rsid w:val="00491E00"/>
    <w:rsid w:val="004E1C2F"/>
    <w:rsid w:val="004E5681"/>
    <w:rsid w:val="004F7A77"/>
    <w:rsid w:val="00523659"/>
    <w:rsid w:val="00543419"/>
    <w:rsid w:val="00556316"/>
    <w:rsid w:val="00557489"/>
    <w:rsid w:val="00563097"/>
    <w:rsid w:val="00574A3C"/>
    <w:rsid w:val="0057538E"/>
    <w:rsid w:val="005849EF"/>
    <w:rsid w:val="005962B1"/>
    <w:rsid w:val="00597F68"/>
    <w:rsid w:val="005B0C02"/>
    <w:rsid w:val="005D6A8E"/>
    <w:rsid w:val="005E1524"/>
    <w:rsid w:val="00606B07"/>
    <w:rsid w:val="00654A2D"/>
    <w:rsid w:val="00657D84"/>
    <w:rsid w:val="00661D5F"/>
    <w:rsid w:val="0067533E"/>
    <w:rsid w:val="00675667"/>
    <w:rsid w:val="00694B16"/>
    <w:rsid w:val="00694E0E"/>
    <w:rsid w:val="006B1EFE"/>
    <w:rsid w:val="006B2349"/>
    <w:rsid w:val="006B2421"/>
    <w:rsid w:val="006B5879"/>
    <w:rsid w:val="006C1B97"/>
    <w:rsid w:val="006C31EF"/>
    <w:rsid w:val="006C43DA"/>
    <w:rsid w:val="006D3687"/>
    <w:rsid w:val="006D73EF"/>
    <w:rsid w:val="006F068C"/>
    <w:rsid w:val="00710B3F"/>
    <w:rsid w:val="00710F3A"/>
    <w:rsid w:val="0072193E"/>
    <w:rsid w:val="0072426C"/>
    <w:rsid w:val="007525FF"/>
    <w:rsid w:val="00754953"/>
    <w:rsid w:val="00770505"/>
    <w:rsid w:val="00777289"/>
    <w:rsid w:val="0078085A"/>
    <w:rsid w:val="007A78C4"/>
    <w:rsid w:val="007B171D"/>
    <w:rsid w:val="007C12B7"/>
    <w:rsid w:val="007C74F7"/>
    <w:rsid w:val="007D61DF"/>
    <w:rsid w:val="007E62F4"/>
    <w:rsid w:val="008048E4"/>
    <w:rsid w:val="00824308"/>
    <w:rsid w:val="00851DA6"/>
    <w:rsid w:val="00865030"/>
    <w:rsid w:val="00895CE0"/>
    <w:rsid w:val="008A0D21"/>
    <w:rsid w:val="008A1136"/>
    <w:rsid w:val="008A7E28"/>
    <w:rsid w:val="008E5BC8"/>
    <w:rsid w:val="008F0B13"/>
    <w:rsid w:val="00945356"/>
    <w:rsid w:val="009671DB"/>
    <w:rsid w:val="00973242"/>
    <w:rsid w:val="00990263"/>
    <w:rsid w:val="009947D9"/>
    <w:rsid w:val="00996023"/>
    <w:rsid w:val="009A3AEB"/>
    <w:rsid w:val="009C2385"/>
    <w:rsid w:val="009D24FF"/>
    <w:rsid w:val="009D4CC0"/>
    <w:rsid w:val="009E162D"/>
    <w:rsid w:val="009F4062"/>
    <w:rsid w:val="00A04A03"/>
    <w:rsid w:val="00A13A7A"/>
    <w:rsid w:val="00A171DA"/>
    <w:rsid w:val="00A565CD"/>
    <w:rsid w:val="00A86F78"/>
    <w:rsid w:val="00A87478"/>
    <w:rsid w:val="00A919C2"/>
    <w:rsid w:val="00A91DBA"/>
    <w:rsid w:val="00AA2AD6"/>
    <w:rsid w:val="00AA75D7"/>
    <w:rsid w:val="00AB33E4"/>
    <w:rsid w:val="00AC4816"/>
    <w:rsid w:val="00AC6C9F"/>
    <w:rsid w:val="00B00218"/>
    <w:rsid w:val="00B111BB"/>
    <w:rsid w:val="00B12749"/>
    <w:rsid w:val="00B24F0D"/>
    <w:rsid w:val="00B36F12"/>
    <w:rsid w:val="00B37939"/>
    <w:rsid w:val="00B421A9"/>
    <w:rsid w:val="00B54B75"/>
    <w:rsid w:val="00B62818"/>
    <w:rsid w:val="00B7457D"/>
    <w:rsid w:val="00B75A2B"/>
    <w:rsid w:val="00B803E0"/>
    <w:rsid w:val="00B8217F"/>
    <w:rsid w:val="00B927BF"/>
    <w:rsid w:val="00BA028D"/>
    <w:rsid w:val="00BC64A7"/>
    <w:rsid w:val="00BD04D5"/>
    <w:rsid w:val="00BD1EC0"/>
    <w:rsid w:val="00BE0110"/>
    <w:rsid w:val="00BE4E05"/>
    <w:rsid w:val="00BF68BE"/>
    <w:rsid w:val="00C2188E"/>
    <w:rsid w:val="00C26069"/>
    <w:rsid w:val="00C33FD4"/>
    <w:rsid w:val="00C37AAC"/>
    <w:rsid w:val="00C40727"/>
    <w:rsid w:val="00C67471"/>
    <w:rsid w:val="00C94FCB"/>
    <w:rsid w:val="00CB5004"/>
    <w:rsid w:val="00CC6AA3"/>
    <w:rsid w:val="00CC6E5E"/>
    <w:rsid w:val="00CD1761"/>
    <w:rsid w:val="00CE1ABA"/>
    <w:rsid w:val="00CE7859"/>
    <w:rsid w:val="00CF0465"/>
    <w:rsid w:val="00CF1BB6"/>
    <w:rsid w:val="00CF2211"/>
    <w:rsid w:val="00D005E0"/>
    <w:rsid w:val="00D455BB"/>
    <w:rsid w:val="00D47730"/>
    <w:rsid w:val="00D54725"/>
    <w:rsid w:val="00D64F52"/>
    <w:rsid w:val="00D731B4"/>
    <w:rsid w:val="00D942FA"/>
    <w:rsid w:val="00DA18E7"/>
    <w:rsid w:val="00DA1FF1"/>
    <w:rsid w:val="00DB3EE4"/>
    <w:rsid w:val="00DB6953"/>
    <w:rsid w:val="00DC1453"/>
    <w:rsid w:val="00DC21AA"/>
    <w:rsid w:val="00DD6E54"/>
    <w:rsid w:val="00DF1B19"/>
    <w:rsid w:val="00DF4735"/>
    <w:rsid w:val="00E047DA"/>
    <w:rsid w:val="00E1189E"/>
    <w:rsid w:val="00E238B4"/>
    <w:rsid w:val="00E361F1"/>
    <w:rsid w:val="00E411EF"/>
    <w:rsid w:val="00E535B1"/>
    <w:rsid w:val="00E574A0"/>
    <w:rsid w:val="00E774B0"/>
    <w:rsid w:val="00E80CCD"/>
    <w:rsid w:val="00E8499E"/>
    <w:rsid w:val="00E85609"/>
    <w:rsid w:val="00E86522"/>
    <w:rsid w:val="00E92A87"/>
    <w:rsid w:val="00EA48D3"/>
    <w:rsid w:val="00EB02D1"/>
    <w:rsid w:val="00ED349F"/>
    <w:rsid w:val="00ED384E"/>
    <w:rsid w:val="00EE0F44"/>
    <w:rsid w:val="00EF14DD"/>
    <w:rsid w:val="00F21D73"/>
    <w:rsid w:val="00F226E0"/>
    <w:rsid w:val="00F34B50"/>
    <w:rsid w:val="00F421C3"/>
    <w:rsid w:val="00F5187C"/>
    <w:rsid w:val="00F56458"/>
    <w:rsid w:val="00F60974"/>
    <w:rsid w:val="00F63583"/>
    <w:rsid w:val="00F6787B"/>
    <w:rsid w:val="00F70CB6"/>
    <w:rsid w:val="00F72699"/>
    <w:rsid w:val="00F82D6B"/>
    <w:rsid w:val="00F9641F"/>
    <w:rsid w:val="00FA61AA"/>
    <w:rsid w:val="00FC0FAD"/>
    <w:rsid w:val="00FC2005"/>
    <w:rsid w:val="00FC6C36"/>
    <w:rsid w:val="00FD2C6D"/>
    <w:rsid w:val="00FE433E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A0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04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A0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0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AAA3-09BA-4124-B2AF-E2E2F27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16</cp:revision>
  <cp:lastPrinted>2021-12-16T12:36:00Z</cp:lastPrinted>
  <dcterms:created xsi:type="dcterms:W3CDTF">2021-11-18T07:46:00Z</dcterms:created>
  <dcterms:modified xsi:type="dcterms:W3CDTF">2021-12-16T12:38:00Z</dcterms:modified>
</cp:coreProperties>
</file>